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BRAND LAUNCHES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Vom ersten Gäste-Moment bis zum Reveal: Musik als präzise geführter Teil der Markeninszenierung.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Brand Launches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LAUNCH DRAMATURGIE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Intro, Spannung, Reveal und Celebration erhalten eigene musikalische Funktionen.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MARKENÜBERSETZUNG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Kampagnenwerte werden in Tempo, Klangfarbe und Energielevel übersetzt.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ASSET CREATION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Cardes kann Eventfoto, Aftermovie, Interviews und Social Content ergänzen.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Press/Influencer Preview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Product Reveal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Community Launch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Launch Afterparty</w:t>
      </w:r>
    </w:p>
    <w:p>
      <w:pPr>
        <w:pStyle w:val="Heading2"/>
      </w:pPr>
      <w:r>
        <w:t>Beleglage</w:t>
      </w:r>
    </w:p>
    <w:p>
      <w:pPr>
        <w:spacing w:after="200"/>
      </w:pPr>
      <w:r>
        <w:t>Die Fähigkeit zu genreoffenen, cue-basierten Sets ist belegt; ein namentlich freigegebener Brand-Launch-Case fehlt noch. [Q1-Q2, L2-L3]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Guest arrival: Markenwelt etablieren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Pre-reveal: Spannung kontrolliert steigern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Reveal: eigener Cue und Sting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Celebration: offener, tanzbarer Brand Mix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18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19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0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1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2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Brand Launches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Brand Launches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production.cardes.at/" TargetMode="External"/><Relationship Id="rId19" Type="http://schemas.openxmlformats.org/officeDocument/2006/relationships/hyperlink" Target="https://production.cardes.at/video/" TargetMode="External"/><Relationship Id="rId20" Type="http://schemas.openxmlformats.org/officeDocument/2006/relationships/hyperlink" Target="https://production.cardes.at/fotos/" TargetMode="External"/><Relationship Id="rId21" Type="http://schemas.openxmlformats.org/officeDocument/2006/relationships/hyperlink" Target="https://production.cardes.at/equipment/" TargetMode="External"/><Relationship Id="rId22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Brand Launches</dc:title>
  <dc:subject>Brand Launches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